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43660B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E524EC">
        <w:rPr>
          <w:rFonts w:ascii="Arial" w:hAnsi="Arial" w:cs="Arial"/>
          <w:b/>
          <w:sz w:val="24"/>
          <w:szCs w:val="24"/>
          <w:u w:val="single"/>
        </w:rPr>
        <w:t>Außenputze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3660B" w:rsidRDefault="0043660B" w:rsidP="00E524EC">
      <w:pPr>
        <w:spacing w:after="0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7D68">
              <w:rPr>
                <w:rFonts w:ascii="Arial" w:hAnsi="Arial" w:cs="Arial"/>
                <w:b/>
                <w:sz w:val="24"/>
                <w:szCs w:val="24"/>
                <w:u w:val="single"/>
              </w:rPr>
              <w:t>Unterputze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Kalk-Zement-Leichtputz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Kalkzement-Leichtputz Typ I als Unterputz mit organischen Leichtzuschlägen in LW CS II W2 nach DIN EN 998-1, auf vorbereitete Wandflächen auftragen,</w:t>
            </w:r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 xml:space="preserve"> eben und fluchtgerecht abziehen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>Oberputz</w:t>
            </w:r>
            <w:proofErr w:type="spellEnd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 xml:space="preserve"> aufkämmen oder </w:t>
            </w:r>
            <w:proofErr w:type="spellStart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>rabottieren</w:t>
            </w:r>
            <w:proofErr w:type="spellEnd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MS Mincho" w:hAnsi="Arial" w:cs="Arial"/>
                <w:sz w:val="20"/>
                <w:szCs w:val="20"/>
                <w:lang w:eastAsia="de-DE"/>
              </w:rPr>
              <w:t xml:space="preserve">Bei normalen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Witterungsbedingungen</w:t>
            </w:r>
            <w:r w:rsidRPr="00B37D68">
              <w:rPr>
                <w:rFonts w:ascii="Arial" w:eastAsia="MS Mincho" w:hAnsi="Arial" w:cs="Arial"/>
                <w:sz w:val="20"/>
                <w:szCs w:val="20"/>
                <w:lang w:eastAsia="de-DE"/>
              </w:rPr>
              <w:t xml:space="preserve"> beträgt die Standzeit ca. ein Tag pro 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MS Mincho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Kalk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-Zement-Leichtputz MAP L1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7F0DBD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43660B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Kalk-Zement-Leichtputz, mineralisch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Kalkzement-Leichtputz Typ I als Unterputz mit mineralischen Leichtzuschlägen in LW CS II W2 nach DIN EN 998-1, auf vorbereitete Wandflächen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-Leichtputz MAP L2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7F0DBD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43660B">
        <w:tc>
          <w:tcPr>
            <w:tcW w:w="7054" w:type="dxa"/>
          </w:tcPr>
          <w:p w:rsidR="0043660B" w:rsidRPr="005854D8" w:rsidRDefault="0043660B" w:rsidP="00F337B6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Kalk-Zement-Leichtputz, schnell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Kalkzement-Leichtputz Typ I als Unterputz mit organischen Leichtzuschlägen in LW CS II W2 nach DIN EN 998-1, auf vorbereitete Wandflächen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-Leichtputz schnell MAP LS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60B" w:rsidRDefault="0043660B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Kalk-Zement-Faser-Leichtputz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Kalkzement-Faser-Leichtputz Typ II als Unterputz mit organischen Leichtzuschlägen und Fasern in LW CS II W2 nach DIN EN 998-1, auf vorbereitete Wandflächen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-Faser-Leichtputz schnell MAP LF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</w:r>
            <w:r w:rsidRPr="00714B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B37D68">
              <w:rPr>
                <w:rFonts w:ascii="Arial" w:hAnsi="Arial" w:cs="Arial"/>
                <w:sz w:val="20"/>
                <w:szCs w:val="20"/>
              </w:rPr>
              <w:t>²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43660B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Kalk-Zement-Faser-Leichtputz, schnell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Kalkzement-Faser-Leichtputz Typ II als Unterputz mit organischen Leichtzuschlägen und Fasern in LW CS II W2 nach DIN EN 998-1, auf vorbereitete Wandflächen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-Faser-Leichtputz schnell MAP LFS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43660B">
        <w:tc>
          <w:tcPr>
            <w:tcW w:w="7054" w:type="dxa"/>
          </w:tcPr>
          <w:p w:rsidR="0043660B" w:rsidRPr="005854D8" w:rsidRDefault="0043660B" w:rsidP="00F337B6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Kalk-Zement-Putz, superleicht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Kalkzement-Super-Leichtputz Typ II als Unterputz mit organischen und mineralischen Leichtzuschlägen, sowie faserarmiert in LW CS II W2 nach DIN EN 998-1, auf vorbereitete Wandflächen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-Putz superleicht MAP SL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60B" w:rsidRDefault="0043660B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>Porenbeton-Außenputz mit Fasern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Porenbeton-Außenputz als Unterputz mit organischen Leichtzuschlägen und eigenschaftsverbessernden Zusätzen und Fasern in CS II W2 nach DIN EN 998-1, </w:t>
            </w:r>
            <w:bookmarkStart w:id="0" w:name="_GoBack"/>
            <w:bookmarkEnd w:id="0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 Porenbetonwandflächen ohne vorherige Grundierung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Porenbeton-Außenputz mit Fasern PAP-F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43660B">
        <w:tc>
          <w:tcPr>
            <w:tcW w:w="7054" w:type="dxa"/>
          </w:tcPr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B37D6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Trasskalk</w:t>
            </w:r>
            <w:proofErr w:type="spellEnd"/>
            <w:r w:rsidRPr="00B37D6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-Maschinenputz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Trasskalk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-Maschinenputz als Grundputz einlagig in zwei Arbeitsgängen aufbringen. Normalputzmörtel nach DIN EN 998-1, GP CS II W2.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Auftragsstärke: ca. 15 mm. </w:t>
            </w:r>
          </w:p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proofErr w:type="spellStart"/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Trasskalk</w:t>
            </w:r>
            <w:proofErr w:type="spellEnd"/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Maschinenputz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MKP 03</w:t>
            </w:r>
          </w:p>
          <w:p w:rsidR="0043660B" w:rsidRPr="002D5A56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43660B">
        <w:tc>
          <w:tcPr>
            <w:tcW w:w="7054" w:type="dxa"/>
          </w:tcPr>
          <w:p w:rsidR="0043660B" w:rsidRPr="005854D8" w:rsidRDefault="0043660B" w:rsidP="00F337B6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Thermoputz, wasserabweisend</w:t>
            </w:r>
          </w:p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Thermoputz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CS II W2 T2 nach DIN EN 998-1 als Grundputz einlagig auf den vorbereiteten Untergrund aufbringen. Bei größeren Schichtdicken kann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 nachfolgende Schicht aufgebracht werden (bei 20 °C und 60 % rel. Luftfeuchtigkeit nach ca. 1 h). Die Oberfläche wird abgezogen und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des Materials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aufgekämmt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rabottiert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Auftragsdicke einlagig: 10 - 40 mm</w:t>
            </w:r>
          </w:p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Mauerwerk: </w:t>
            </w:r>
            <w:r w:rsidRPr="00B37D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</w:p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 xml:space="preserve">RYGOL 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Thermoputz</w:t>
            </w:r>
            <w:r w:rsidRPr="002D5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5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</w:t>
            </w:r>
            <w:proofErr w:type="spellEnd"/>
          </w:p>
          <w:p w:rsidR="0043660B" w:rsidRPr="00B37D68" w:rsidRDefault="0043660B" w:rsidP="00F3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60B" w:rsidRDefault="0043660B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3660B" w:rsidTr="00F337B6">
        <w:tc>
          <w:tcPr>
            <w:tcW w:w="7054" w:type="dxa"/>
          </w:tcPr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>Verputzen von XPS Platten in der Fassade</w:t>
            </w:r>
          </w:p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Flex-Fassadenspachtel FSP,  Normalputzmörtel CS III W2 nach DIN EN 998-1 auf extrudierte Hartschaumplatten ca. 3 mm stark aufbringen und waagrecht aufkämmen, Standzeit ca. 1 Tag. Maschinen–Leichtputz als Grundputz auf FSP ca. 15 mm stark auftragen. Einlegen eines alkalibeständigen Glasfaser-Armierungsgewebes im äußeren Drittel 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Putzlage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glatt und ohne Falten. Überlappung an den Stößen mind. 100 mm, zu anderen Bauteilen mind. 200 mm und mit zusätzlicher Diagonalarmierung an den Gebäudeöffnungen. Oberfläche aufrauen.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Standzeit vor Aufbringen weiterer Putzlagen mind. 1 Tag/mm Putzdicke.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Flex-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Fassadenspachtel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RYGOL Maschinen-Leichtputze (MAP L1/L2…)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Armierungsgewebe</w:t>
            </w:r>
          </w:p>
          <w:p w:rsidR="0043660B" w:rsidRPr="00B37D68" w:rsidRDefault="0043660B" w:rsidP="00F3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660B" w:rsidRPr="00B37D68" w:rsidRDefault="0043660B" w:rsidP="00F337B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43660B" w:rsidRPr="00B37D68" w:rsidRDefault="0043660B" w:rsidP="00F3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660B" w:rsidRPr="002D5A56" w:rsidRDefault="0043660B" w:rsidP="00F337B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3660B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3660B" w:rsidRPr="002D5A56" w:rsidTr="00F337B6">
        <w:tc>
          <w:tcPr>
            <w:tcW w:w="7054" w:type="dxa"/>
          </w:tcPr>
          <w:p w:rsidR="0043660B" w:rsidRPr="002D5A56" w:rsidRDefault="0043660B" w:rsidP="00F3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3660B" w:rsidRPr="002D5A56" w:rsidRDefault="0043660B" w:rsidP="00F337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60B" w:rsidRPr="001371D5" w:rsidRDefault="0043660B" w:rsidP="00E524EC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43660B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77825"/>
    <w:rsid w:val="001371D5"/>
    <w:rsid w:val="001D5431"/>
    <w:rsid w:val="0043660B"/>
    <w:rsid w:val="004D2E88"/>
    <w:rsid w:val="00605138"/>
    <w:rsid w:val="0068554F"/>
    <w:rsid w:val="00AA5671"/>
    <w:rsid w:val="00DC4D42"/>
    <w:rsid w:val="00DD517F"/>
    <w:rsid w:val="00E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E5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3660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E5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3660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4</cp:revision>
  <dcterms:created xsi:type="dcterms:W3CDTF">2015-06-09T11:47:00Z</dcterms:created>
  <dcterms:modified xsi:type="dcterms:W3CDTF">2019-02-04T10:23:00Z</dcterms:modified>
</cp:coreProperties>
</file>