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10" w:rsidRDefault="00311910" w:rsidP="0031191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311910" w:rsidRDefault="00311910" w:rsidP="0031191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311910" w:rsidRDefault="00311910" w:rsidP="003119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311910" w:rsidRDefault="00311910" w:rsidP="003119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1910" w:rsidRDefault="00311910" w:rsidP="003119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11910" w:rsidRPr="00DF5BE0" w:rsidRDefault="00311910" w:rsidP="0031191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wdvs - detailausbildungen</w:t>
      </w:r>
    </w:p>
    <w:p w:rsidR="00311910" w:rsidRDefault="00311910" w:rsidP="0031191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311910" w:rsidRDefault="00311910" w:rsidP="0031191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311910" w:rsidRPr="00DF5BE0" w:rsidRDefault="00311910" w:rsidP="0031191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311910" w:rsidRDefault="00311910" w:rsidP="00311910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311910" w:rsidRDefault="00311910" w:rsidP="00311910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311910" w:rsidRDefault="00311910" w:rsidP="00311910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311910" w:rsidRDefault="00311910" w:rsidP="00311910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311910" w:rsidRDefault="00311910" w:rsidP="00311910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311910" w:rsidRDefault="00311910" w:rsidP="00311910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311910" w:rsidRDefault="00311910" w:rsidP="00311910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:rsidR="00311910" w:rsidRPr="00DB007F" w:rsidRDefault="00311910" w:rsidP="00311910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311910" w:rsidRPr="00DF5BE0" w:rsidRDefault="00311910" w:rsidP="00311910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311910" w:rsidRPr="00DD517F" w:rsidRDefault="00311910" w:rsidP="0031191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11910" w:rsidTr="00311910">
        <w:tc>
          <w:tcPr>
            <w:tcW w:w="7054" w:type="dxa"/>
          </w:tcPr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Putzanschluss</w:t>
            </w:r>
            <w:r w:rsidRPr="00B87D8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gewebeleiste PUR EX ohne Lippe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Anputzleiste</w:t>
            </w:r>
            <w:proofErr w:type="spellEnd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PE-Dichtband, SK Schutzlasche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als Anschluss bei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Fenster-, Tür- und sonstigen Bauteilen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und anbringen.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Ausbilden einer wind- und schlagregendichten, bewegungsfähigen Systemanschlussfuge mittels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Anputzleiste</w:t>
            </w:r>
            <w:proofErr w:type="spellEnd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integriertem, komprimiertem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Fugendichtband.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Einbau gemäß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Herstellerrichtlinie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Gewebeleiste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PUR EX W 29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7D83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Default="00311910" w:rsidP="003119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10" w:rsidTr="00311910">
        <w:tc>
          <w:tcPr>
            <w:tcW w:w="7054" w:type="dxa"/>
          </w:tcPr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Putzanschlussgewebeleiste PUR EX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mit Li</w:t>
            </w:r>
            <w:r w:rsidRPr="00B87D8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ppe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Anputzleiste</w:t>
            </w:r>
            <w:proofErr w:type="spellEnd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PE-Dichtband, SK Schutzlasche und Lippe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als Anschluss bei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Fenster-, Tür- und sonstigen Bauteilen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und anbringen.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Ausbilden eine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 wind- und schlagregendichten,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bewegungsfähigen Systemanschlussfuge mittels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Anputzleiste</w:t>
            </w:r>
            <w:proofErr w:type="spellEnd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integriertem, komprimiertem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Fugendichtband.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Einbau gemäß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Herstellerrichtlinie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Gewebeleiste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PUR EX W 29+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7D83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B194E" w:rsidTr="00DF437C">
        <w:tc>
          <w:tcPr>
            <w:tcW w:w="7054" w:type="dxa"/>
          </w:tcPr>
          <w:p w:rsidR="004B194E" w:rsidRDefault="004B194E" w:rsidP="00DF437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4E" w:rsidRPr="005854D8" w:rsidRDefault="004B194E" w:rsidP="00DF437C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4B194E" w:rsidRDefault="004B194E" w:rsidP="00DF437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94E" w:rsidRDefault="004B194E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B194E" w:rsidTr="001B7FA8">
        <w:tc>
          <w:tcPr>
            <w:tcW w:w="7054" w:type="dxa"/>
          </w:tcPr>
          <w:p w:rsidR="004B194E" w:rsidRDefault="004B194E" w:rsidP="001B7FA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4E" w:rsidRDefault="004B194E" w:rsidP="001B7FA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4B194E" w:rsidRDefault="004B194E" w:rsidP="001B7FA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130FE7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30FE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Putzanschlussgewebeleiste PUR EX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</w:t>
            </w:r>
            <w:proofErr w:type="spellEnd"/>
            <w:r w:rsidRPr="00130FE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/</w:t>
            </w:r>
            <w:proofErr w:type="spellStart"/>
            <w:r w:rsidRPr="00130FE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Dickputz</w:t>
            </w:r>
            <w:proofErr w:type="spellEnd"/>
            <w:r w:rsidRPr="00130FE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/Kratzputz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Anputzleiste</w:t>
            </w:r>
            <w:proofErr w:type="spellEnd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PE-Dichtband, SK Schutzlasche und Lippe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als Anschluss bei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Fenster-, Tür- und sonstigen Bauteilen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und anbringen.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Ausbilden einer wind- und schlagregendichten, bewegungsfähigen Systemanschlussfuge mittels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Anputzleiste</w:t>
            </w:r>
            <w:proofErr w:type="spellEnd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integriertem, komprimiertem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Fugendichtband.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Einbau gemäß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Herstellerrichtlinie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Gewebeleiste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PUR EX W 29 pro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B87D83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7D83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130FE7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10" w:rsidTr="00311910">
        <w:tc>
          <w:tcPr>
            <w:tcW w:w="7054" w:type="dxa"/>
          </w:tcPr>
          <w:p w:rsidR="00311910" w:rsidRPr="00130FE7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Putzanschluss</w:t>
            </w:r>
            <w:r w:rsidRPr="00130FE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gewebeleiste MINI BIO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Selbstklebende Teleskop-Gewebeleiste als Anschluss bei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Fenster-, Tür- und sonstigen Bauteilen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und anbringen.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Ausbilden einer wind- und schlagregendichten, bewegungsfähigen Systemanschlussfuge mittels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Anputzleiste</w:t>
            </w:r>
            <w:proofErr w:type="spellEnd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für hohe Dämmdicken und große Laibungen mit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orizontaler und vertikaler Bewegungsaufnahme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Einbau gemäß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Herstellerrichtlinie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Teleskop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-Gewebeleiste MINI BIO W 28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7D83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10" w:rsidTr="00311910">
        <w:tc>
          <w:tcPr>
            <w:tcW w:w="7054" w:type="dxa"/>
          </w:tcPr>
          <w:p w:rsidR="00311910" w:rsidRPr="00074EB4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Putzanschluss</w:t>
            </w:r>
            <w:r w:rsidRPr="00074EB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gewebeleiste IDEAL Plus mit Lippe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Selbstklebende Teleskop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-Gewebeleiste als Anschluss bei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Fenster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-, Tür- und sonstigen Bauteilen liefern und anbringen.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Ausbilden einer wind- und schlagregendichten, bewegungsfähi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 Systemanschlussfuge mittels </w:t>
            </w:r>
            <w:proofErr w:type="spellStart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Anputzleiste</w:t>
            </w:r>
            <w:proofErr w:type="spellEnd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für Dämmdicken 100 -160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 mauerwerksbündigen Fenstern.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Einbau gemäß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Herstellerrichtlinie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SAKRET Teleskop-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Gewebeleiste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IDEAL Plus W 30+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B87D83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7D83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11910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:rsidR="00311910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10" w:rsidTr="00311910">
        <w:tc>
          <w:tcPr>
            <w:tcW w:w="7054" w:type="dxa"/>
          </w:tcPr>
          <w:p w:rsidR="00311910" w:rsidRPr="00074EB4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Putzanschluss</w:t>
            </w:r>
            <w:r w:rsidRPr="00074EB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gewe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beleiste </w:t>
            </w:r>
            <w:r w:rsidRPr="00074EB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ROMA für Vorbaurolladen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Selbstklebende Teleskop-Gewebeleis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 mit TPE Schlaufe und PE Band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seitliche Anschlüsse an Vorbaurol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laden nach Herstellervorschrift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anbringen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Gewebeleiste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ROMA W 31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Default="00311910" w:rsidP="00A44A0E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7D83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B194E" w:rsidTr="00E417B9">
        <w:tc>
          <w:tcPr>
            <w:tcW w:w="7054" w:type="dxa"/>
          </w:tcPr>
          <w:p w:rsidR="004B194E" w:rsidRDefault="004B194E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4E" w:rsidRPr="005854D8" w:rsidRDefault="004B194E" w:rsidP="00E417B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4B194E" w:rsidRDefault="004B194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94E" w:rsidRDefault="004B194E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B194E" w:rsidTr="00E417B9">
        <w:tc>
          <w:tcPr>
            <w:tcW w:w="7054" w:type="dxa"/>
          </w:tcPr>
          <w:p w:rsidR="004B194E" w:rsidRDefault="004B194E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4E" w:rsidRDefault="004B194E" w:rsidP="00E417B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4B194E" w:rsidRDefault="004B194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074EB4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74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Tropfkantenprofil an Sturzbereichen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Abschlussprofil mit gekröpfter Tropfkante an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allen Sturzbereichen anbringen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 die Spachtelmasse eindrücken.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DROP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-TEX DUE W 40-2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7D83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074EB4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10" w:rsidTr="00311910">
        <w:tc>
          <w:tcPr>
            <w:tcW w:w="7054" w:type="dxa"/>
          </w:tcPr>
          <w:p w:rsidR="00311910" w:rsidRPr="00074EB4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Abschluss</w:t>
            </w:r>
            <w:r w:rsidRPr="00074EB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profil DECO-TEX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fern und Einbauen eines Abschluss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profiles mi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aufgeschweißtem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Gewebeteil im Bereich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Giebelseite für Putzabschluss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Profil wird in die Armierungsmasse eingebettet.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Abschlussprofil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DECO-TEX W </w:t>
            </w:r>
            <w:r w:rsid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44 3 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mm/6mm/10mm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10" w:rsidTr="00311910">
        <w:tc>
          <w:tcPr>
            <w:tcW w:w="7054" w:type="dxa"/>
          </w:tcPr>
          <w:p w:rsidR="00311910" w:rsidRPr="00074EB4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Übergangprofil Blechanschluss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Übergangsprofil aus Kunststoff mit integ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riertem Glasfasergewebe liefern u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nd in die Armierungsschicht einbetten.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 den Stößen sind 2 mm Abstand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lassen, Flächengewebe bis an den Putzanschlag.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Blechanschlussprofil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W 45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10" w:rsidTr="00311910">
        <w:tc>
          <w:tcPr>
            <w:tcW w:w="7054" w:type="dxa"/>
          </w:tcPr>
          <w:p w:rsidR="00311910" w:rsidRPr="00CC00D4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Anschlussfugen mit Fugendichtband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Anschlussfugen sind mit Fu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gendichtband aus imprägniertem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Weichsc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haumstoff gemäß DIN 18055,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dämmsystemkomponente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nverträglich, schlagregendicht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abzudichten. Fugendichtband 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 der Anschlussfuge vorkleben,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Dämmplatten press gegenstoßen.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Die Armierungsschicht bis zum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Fugenrand führen. Fugendichtband mit der Schlussbesch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ichtung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überdecken. </w:t>
            </w:r>
            <w:proofErr w:type="spellStart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Kellenschnitt</w:t>
            </w:r>
            <w:proofErr w:type="spellEnd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herstellen.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SAKR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Fugendichtband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2 - 6/15 mm breit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Fugendichtband 3 - 9/15 mm breit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Fugendichtband 5 - 12/15 mm breit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A44A0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B194E" w:rsidTr="00E417B9">
        <w:tc>
          <w:tcPr>
            <w:tcW w:w="7054" w:type="dxa"/>
          </w:tcPr>
          <w:p w:rsidR="004B194E" w:rsidRDefault="004B194E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4E" w:rsidRPr="005854D8" w:rsidRDefault="004B194E" w:rsidP="00E417B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4B194E" w:rsidRDefault="004B194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94E" w:rsidRDefault="004B194E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B194E" w:rsidTr="00E417B9">
        <w:tc>
          <w:tcPr>
            <w:tcW w:w="7054" w:type="dxa"/>
          </w:tcPr>
          <w:p w:rsidR="004B194E" w:rsidRDefault="004B194E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4E" w:rsidRDefault="004B194E" w:rsidP="00E417B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4B194E" w:rsidRDefault="004B194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5F6FBF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F6F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Sturzeckwinkel</w:t>
            </w:r>
          </w:p>
          <w:p w:rsidR="00311910" w:rsidRPr="00B87D83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und Einbauen eines Sturz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innenwinkels im Sturz-/Leibungsb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ereich mit Diagonalarmierung.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A44A0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Bauteil: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Bereich der Paneele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A44A0E">
            <w:pPr>
              <w:widowControl w:val="0"/>
              <w:tabs>
                <w:tab w:val="left" w:leader="underscore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Leibungstiefe bis: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311910" w:rsidRPr="00B87D83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Sturzinnenwinkel</w:t>
            </w:r>
          </w:p>
          <w:p w:rsidR="00311910" w:rsidRPr="00B87D83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119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Stück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A44A0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5F6FBF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10" w:rsidTr="00311910">
        <w:tc>
          <w:tcPr>
            <w:tcW w:w="7054" w:type="dxa"/>
          </w:tcPr>
          <w:p w:rsidR="00311910" w:rsidRPr="005F6FBF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F6F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Zusätzliche Armierung mit Panzergewebe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F6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Herstellen einer zusätzlichen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vollflächigen Armierungsschicht</w:t>
            </w:r>
            <w:r w:rsidRPr="005F6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als Zulage zur normalen Systemarmierung im stoßgefährdeten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F6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Bereich ca. 2,50 m über Geländeoberkante.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F6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 der normalen Systemarmierung</w:t>
            </w:r>
            <w:r w:rsidRPr="005F6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die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F6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Armierungsmasse auf die Dämmplatten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volldeckend auftragen.</w:t>
            </w:r>
            <w:r w:rsidRPr="005F6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Panzergewebe eindrücken und planspachteln. Panzergewebe bündig aneinanderstoßen, nicht überlappen. 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ab/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</w:t>
            </w:r>
            <w:r w:rsidRPr="00A44A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Panzergewebe</w:t>
            </w:r>
            <w:r w:rsidRPr="00A44A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, MW 7 x 7 mm 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ab/>
            </w:r>
            <w:r w:rsidRPr="00B87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m²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A44A0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5F6FBF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10" w:rsidTr="00311910">
        <w:tc>
          <w:tcPr>
            <w:tcW w:w="7054" w:type="dxa"/>
          </w:tcPr>
          <w:p w:rsidR="00311910" w:rsidRPr="001F176D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F1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Kantenschutz mit Gewebeeckwinkel, codiert</w:t>
            </w:r>
          </w:p>
          <w:p w:rsidR="00311910" w:rsidRPr="00B87D83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Als Zulage zur Systemarmierung ist ein Kantenschutz aus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Kunststoff-Eckschu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tzschiene und Glasfasergewebe herzustellen.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Gewebeeckwinkel ist vor der vollf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lächigen Armierung anzubringen.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Armierungsgewebe über 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Eckwinkel legen und einbetten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(10 cm überlappen).</w:t>
            </w:r>
          </w:p>
          <w:p w:rsidR="00311910" w:rsidRPr="00B87D83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Gewebeeckwinkel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, codiert W 11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7D83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A44A0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B194E" w:rsidTr="00E417B9">
        <w:tc>
          <w:tcPr>
            <w:tcW w:w="7054" w:type="dxa"/>
          </w:tcPr>
          <w:p w:rsidR="004B194E" w:rsidRDefault="004B194E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4E" w:rsidRPr="005854D8" w:rsidRDefault="004B194E" w:rsidP="00E417B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4B194E" w:rsidRDefault="004B194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1F176D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94E" w:rsidRDefault="004B194E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B194E" w:rsidTr="00E417B9">
        <w:tc>
          <w:tcPr>
            <w:tcW w:w="7054" w:type="dxa"/>
          </w:tcPr>
          <w:p w:rsidR="004B194E" w:rsidRDefault="004B194E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4E" w:rsidRDefault="004B194E" w:rsidP="00E417B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4B194E" w:rsidRDefault="004B194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64561A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456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Kantenschutz mit Gewebeeckwinkel, verstärkt</w:t>
            </w:r>
          </w:p>
          <w:p w:rsidR="00311910" w:rsidRPr="00B87D83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Als Zulage zur Systemarmi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erung ist ein Kantenschutz aus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Kunststoff-Eckschu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tzschiene und Glasfasergewebe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herzu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stellen, Schenkellänge 10 x 15 cm.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Gewebeeckwinkel ist vor der vollflächigen Armie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rung anzubringen.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Armierungsgewebe über 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Eckwinkel legen und einbetten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(10 cm überlappen).</w:t>
            </w:r>
          </w:p>
          <w:p w:rsidR="00311910" w:rsidRPr="00B87D83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Gewebeeckwinkel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, verstärkt</w:t>
            </w:r>
          </w:p>
          <w:p w:rsidR="00311910" w:rsidRPr="00B87D83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</w:p>
          <w:p w:rsidR="00311910" w:rsidRPr="00B87D83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A44A0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10" w:rsidTr="00311910">
        <w:tc>
          <w:tcPr>
            <w:tcW w:w="7054" w:type="dxa"/>
          </w:tcPr>
          <w:p w:rsidR="00311910" w:rsidRPr="0064561A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4561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Sockelschiene SOLI-TEX mit Wassernase und Gewebe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de-DE"/>
              </w:rPr>
            </w:pPr>
          </w:p>
          <w:p w:rsidR="00311910" w:rsidRPr="0064561A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F28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Anbringen des </w:t>
            </w:r>
            <w:proofErr w:type="spellStart"/>
            <w:r w:rsidRPr="000F28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Sockeltrogprofils</w:t>
            </w:r>
            <w:proofErr w:type="spellEnd"/>
            <w:r w:rsidRPr="000F28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 Wassernase und Gewebeteil, wärmebrückenfrei </w:t>
            </w:r>
            <w:r w:rsidRPr="000F28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zum Herstellen des Systemabschlusses in Sockelhöhe.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F28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Verlegung muss waagrecht erfolgen. Genaue Flucht durch Hinterlegen.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F28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Zulage für evtl. „Auffütterungen“ auf die des Profils wird nicht gewährt. Die Befestigung erfolgt im Abstand von ca. 30 cm mit geeigneten Schlagschrauben.</w:t>
            </w:r>
          </w:p>
          <w:p w:rsidR="00311910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</w:p>
          <w:p w:rsidR="00311910" w:rsidRPr="00B87D83" w:rsidRDefault="00311910" w:rsidP="00A44A0E">
            <w:pPr>
              <w:widowControl w:val="0"/>
              <w:tabs>
                <w:tab w:val="left" w:leader="underscore" w:pos="34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>Dämmplattenstärke: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ab/>
            </w:r>
            <w:r w:rsidRPr="00B87D83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>mm</w:t>
            </w:r>
          </w:p>
          <w:p w:rsidR="00311910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</w:p>
          <w:p w:rsidR="00311910" w:rsidRPr="00B87D83" w:rsidRDefault="00311910" w:rsidP="00A44A0E">
            <w:pPr>
              <w:widowControl w:val="0"/>
              <w:tabs>
                <w:tab w:val="left" w:leader="underscore" w:pos="34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>Bauteil: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ab/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44A0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tab/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</w:t>
            </w:r>
            <w:r w:rsidRPr="00A44A0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t xml:space="preserve">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Sockelschiene</w:t>
            </w:r>
            <w:r w:rsidRPr="00A44A0E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  <w:t xml:space="preserve"> SOLI-TEX DUE W61-2</w:t>
            </w:r>
          </w:p>
          <w:p w:rsidR="00311910" w:rsidRDefault="00311910" w:rsidP="0031191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hAnsi="Arial" w:cs="Arial"/>
                <w:sz w:val="20"/>
                <w:szCs w:val="20"/>
              </w:rPr>
              <w:t>Einheit</w:t>
            </w:r>
            <w:r w:rsidRPr="00B87D83">
              <w:rPr>
                <w:rFonts w:ascii="Arial" w:hAnsi="Arial" w:cs="Arial"/>
                <w:sz w:val="20"/>
                <w:szCs w:val="20"/>
              </w:rPr>
              <w:tab/>
              <w:t>m</w:t>
            </w:r>
          </w:p>
          <w:p w:rsidR="00311910" w:rsidRDefault="00311910" w:rsidP="0031191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A44A0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64561A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10" w:rsidTr="00311910">
        <w:tc>
          <w:tcPr>
            <w:tcW w:w="7054" w:type="dxa"/>
          </w:tcPr>
          <w:p w:rsidR="00311910" w:rsidRPr="000F2802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F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Dehnfugenprofil für Innen-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</w:t>
            </w:r>
            <w:r w:rsidRPr="000F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Außenecken und Fläche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und Einbau von Dehnfuge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nprofil mit flexiblem Oberteil,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flexiblem Formteil und Gewebeteilen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Dehnfugenprofil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MOVI W 56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7D83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A44A0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B194E" w:rsidTr="00F841FF">
        <w:tc>
          <w:tcPr>
            <w:tcW w:w="7054" w:type="dxa"/>
          </w:tcPr>
          <w:p w:rsidR="004B194E" w:rsidRDefault="004B194E" w:rsidP="00F841FF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4E" w:rsidRPr="005854D8" w:rsidRDefault="004B194E" w:rsidP="00F841FF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4B194E" w:rsidRDefault="004B194E" w:rsidP="00F841F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0F2802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94E" w:rsidRDefault="004B194E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B194E" w:rsidTr="00E417B9">
        <w:tc>
          <w:tcPr>
            <w:tcW w:w="7054" w:type="dxa"/>
          </w:tcPr>
          <w:p w:rsidR="004B194E" w:rsidRDefault="004B194E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4E" w:rsidRDefault="004B194E" w:rsidP="00E417B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4B194E" w:rsidRDefault="004B194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0F2802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F280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Dachbelüftungsprofil anbringen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und Montieren eines Dachb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elüftungsprofiles zwischen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Dachschalung und Dämmung für die Dachbelüftung.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Aluminium, weiß für alle Dämmstoffdicken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Dachbelüftungsprofil</w:t>
            </w:r>
          </w:p>
          <w:p w:rsidR="00311910" w:rsidRPr="00B87D83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A44A0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0F2802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10" w:rsidTr="00311910">
        <w:tc>
          <w:tcPr>
            <w:tcW w:w="7054" w:type="dxa"/>
          </w:tcPr>
          <w:p w:rsidR="00311910" w:rsidRPr="000F2802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F280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Attikaprofil 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Attikaprofil mit flexibler Gegennase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Gewebe zur Absicherung des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hochdringenden Regenwassers liefern und auf de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 Fassade unter dem Attikablech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die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Armierungsmasse einbetten. Das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lächengewebe ist sorgfältig und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exakt bis an die Putzkante des Attikaprofils </w:t>
            </w:r>
            <w:proofErr w:type="spellStart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anzuarbeiten</w:t>
            </w:r>
            <w:proofErr w:type="spellEnd"/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Attikaprofil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7D83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A44A0E" w:rsidRDefault="00311910" w:rsidP="00A44A0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A44A0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0F2802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910" w:rsidTr="00311910">
        <w:tc>
          <w:tcPr>
            <w:tcW w:w="7054" w:type="dxa"/>
          </w:tcPr>
          <w:p w:rsidR="00311910" w:rsidRPr="000F2802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F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PU-Montagezylinder,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Versetzen von PU-Montagezylinder, , mit Klebemört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el in die gedämmte Fassade nach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Verarbeitungsvorschriften des Herst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ellers. Als Druckunterlage für h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ohe Drucklasten, als Mo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ntageelement für Fremdmontagen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Montageposition nach Angabe des Fremdmontage-Herstellers oder der Bauleitung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Durchmesser: 60/80/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 200 mm</w:t>
            </w:r>
          </w:p>
          <w:p w:rsidR="00311910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4B194E">
            <w:pPr>
              <w:widowControl w:val="0"/>
              <w:tabs>
                <w:tab w:val="left" w:leader="underscore" w:pos="3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Dämmstoffdicke: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mm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Montagezylinder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-PU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7D83">
              <w:rPr>
                <w:rFonts w:ascii="Arial" w:hAnsi="Arial" w:cs="Arial"/>
                <w:sz w:val="20"/>
                <w:szCs w:val="20"/>
              </w:rPr>
              <w:t>Stück</w:t>
            </w:r>
          </w:p>
          <w:p w:rsidR="00311910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4B194E" w:rsidRDefault="00311910" w:rsidP="004B194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A44A0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B194E" w:rsidTr="00E417B9">
        <w:tc>
          <w:tcPr>
            <w:tcW w:w="7054" w:type="dxa"/>
          </w:tcPr>
          <w:p w:rsidR="004B194E" w:rsidRDefault="004B194E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4E" w:rsidRPr="005854D8" w:rsidRDefault="004B194E" w:rsidP="00E417B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4B194E" w:rsidRDefault="004B194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0F2802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311910" w:rsidRDefault="00311910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94E" w:rsidRDefault="004B194E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B194E" w:rsidTr="00E417B9">
        <w:tc>
          <w:tcPr>
            <w:tcW w:w="7054" w:type="dxa"/>
          </w:tcPr>
          <w:p w:rsidR="004B194E" w:rsidRDefault="004B194E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94E" w:rsidRDefault="004B194E" w:rsidP="00E417B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4B194E" w:rsidRDefault="004B194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311910">
        <w:tc>
          <w:tcPr>
            <w:tcW w:w="7054" w:type="dxa"/>
          </w:tcPr>
          <w:p w:rsidR="00311910" w:rsidRPr="00690F04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90F0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Tragwinkel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 und Einbau von PH-Tragwinkeln für Fre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mdmontage wie z .B. französische Balkone. 280 x 112 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 verkleben mit Klebem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örtel und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Verdübelung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drei 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Schraubdübeln. </w:t>
            </w:r>
          </w:p>
          <w:p w:rsidR="00311910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B87D83" w:rsidRDefault="00311910" w:rsidP="004B194E">
            <w:pPr>
              <w:widowControl w:val="0"/>
              <w:tabs>
                <w:tab w:val="left" w:leader="underscore" w:pos="3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Dämmstoffdicke: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</w:t>
            </w:r>
          </w:p>
          <w:p w:rsidR="00311910" w:rsidRPr="00B87D83" w:rsidRDefault="00311910" w:rsidP="00311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11910" w:rsidRPr="00A44A0E" w:rsidRDefault="00311910" w:rsidP="003119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proofErr w:type="spellStart"/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Tra</w:t>
            </w:r>
            <w:proofErr w:type="spellEnd"/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</w:t>
            </w:r>
            <w:proofErr w:type="spellStart"/>
            <w:r w:rsidRPr="00A44A0E">
              <w:rPr>
                <w:rFonts w:ascii="Arial" w:eastAsia="Calibri" w:hAnsi="Arial" w:cs="Arial"/>
                <w:b/>
                <w:sz w:val="20"/>
                <w:szCs w:val="20"/>
              </w:rPr>
              <w:t>Wik</w:t>
            </w:r>
            <w:proofErr w:type="spellEnd"/>
            <w:r w:rsidRPr="00A44A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-PH Tragwinkel</w:t>
            </w:r>
          </w:p>
          <w:p w:rsidR="00311910" w:rsidRPr="00B87D83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B87D83" w:rsidRDefault="00311910" w:rsidP="0031191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hAnsi="Arial" w:cs="Arial"/>
                <w:sz w:val="20"/>
                <w:szCs w:val="20"/>
              </w:rPr>
              <w:t>Einheit</w:t>
            </w:r>
            <w:r w:rsidRPr="00B87D83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311910" w:rsidRPr="00B87D83" w:rsidRDefault="00311910" w:rsidP="0031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910" w:rsidRPr="004B194E" w:rsidRDefault="00311910" w:rsidP="004B194E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44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1910" w:rsidRDefault="00A44A0E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7D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1910" w:rsidTr="00E4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11910" w:rsidRDefault="00311910" w:rsidP="0031191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11910" w:rsidRDefault="00311910" w:rsidP="0031191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910" w:rsidRPr="00820CCA" w:rsidRDefault="00311910" w:rsidP="00311910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311910" w:rsidRDefault="00311910" w:rsidP="0031191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E4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11910" w:rsidRDefault="00311910" w:rsidP="0031191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311910" w:rsidRDefault="00311910" w:rsidP="0031191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311910" w:rsidRDefault="00311910" w:rsidP="00311910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910" w:rsidRDefault="00311910" w:rsidP="0031191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1910" w:rsidTr="00E4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11910" w:rsidRDefault="00311910" w:rsidP="0031191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910" w:rsidRDefault="00311910" w:rsidP="0031191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910" w:rsidRDefault="00311910" w:rsidP="00311910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311910" w:rsidRDefault="00311910" w:rsidP="00311910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311910" w:rsidRPr="00690F04" w:rsidRDefault="00311910" w:rsidP="00690F04">
      <w:pPr>
        <w:widowControl w:val="0"/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11910" w:rsidRPr="00690F04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02" w:rsidRDefault="000F2802" w:rsidP="004D2E88">
      <w:pPr>
        <w:spacing w:after="0" w:line="240" w:lineRule="auto"/>
      </w:pPr>
      <w:r>
        <w:separator/>
      </w:r>
    </w:p>
  </w:endnote>
  <w:endnote w:type="continuationSeparator" w:id="0">
    <w:p w:rsidR="000F2802" w:rsidRDefault="000F2802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02" w:rsidRDefault="000F2802" w:rsidP="004D2E88">
      <w:pPr>
        <w:spacing w:after="0" w:line="240" w:lineRule="auto"/>
      </w:pPr>
      <w:r>
        <w:separator/>
      </w:r>
    </w:p>
  </w:footnote>
  <w:footnote w:type="continuationSeparator" w:id="0">
    <w:p w:rsidR="000F2802" w:rsidRDefault="000F2802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02" w:rsidRDefault="000F2802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074EB4"/>
    <w:rsid w:val="000F2802"/>
    <w:rsid w:val="00130FE7"/>
    <w:rsid w:val="001371D5"/>
    <w:rsid w:val="001D5431"/>
    <w:rsid w:val="001F176D"/>
    <w:rsid w:val="002A1194"/>
    <w:rsid w:val="00306BF4"/>
    <w:rsid w:val="00311910"/>
    <w:rsid w:val="004B194E"/>
    <w:rsid w:val="004D2E88"/>
    <w:rsid w:val="005F6FBF"/>
    <w:rsid w:val="00605138"/>
    <w:rsid w:val="0064561A"/>
    <w:rsid w:val="0068554F"/>
    <w:rsid w:val="00690F04"/>
    <w:rsid w:val="00A44A0E"/>
    <w:rsid w:val="00AA5671"/>
    <w:rsid w:val="00B15991"/>
    <w:rsid w:val="00B87D83"/>
    <w:rsid w:val="00CC00D4"/>
    <w:rsid w:val="00DC4D42"/>
    <w:rsid w:val="00D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1191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1191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10</cp:revision>
  <dcterms:created xsi:type="dcterms:W3CDTF">2015-05-29T06:04:00Z</dcterms:created>
  <dcterms:modified xsi:type="dcterms:W3CDTF">2015-07-21T14:25:00Z</dcterms:modified>
</cp:coreProperties>
</file>